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49" w:rsidRDefault="00044349" w:rsidP="0004434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-590550</wp:posOffset>
            </wp:positionV>
            <wp:extent cx="1143000" cy="800100"/>
            <wp:effectExtent l="0" t="0" r="0" b="0"/>
            <wp:wrapNone/>
            <wp:docPr id="1" name="Picture 0" descr="BMCC_no white background verion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C_no white background verion cop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1E9">
        <w:rPr>
          <w:rFonts w:ascii="Arial" w:hAnsi="Arial" w:cs="Arial"/>
          <w:b/>
          <w:bCs/>
          <w:color w:val="000000"/>
          <w:sz w:val="24"/>
          <w:szCs w:val="24"/>
        </w:rPr>
        <w:t>`</w:t>
      </w:r>
    </w:p>
    <w:p w:rsidR="00044349" w:rsidRPr="00044349" w:rsidRDefault="00044349" w:rsidP="0004434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OLE_LINK1"/>
      <w:bookmarkStart w:id="1" w:name="OLE_LINK2"/>
      <w:r w:rsidRPr="00044349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t>D</w:t>
      </w:r>
      <w:r w:rsidR="0098039A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t>isclosure of Contract</w:t>
      </w:r>
    </w:p>
    <w:bookmarkEnd w:id="0"/>
    <w:bookmarkEnd w:id="1"/>
    <w:p w:rsidR="00826BCA" w:rsidRPr="000D47B1" w:rsidRDefault="00826BCA" w:rsidP="00044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690E3B" w:rsidTr="00873D08">
        <w:tc>
          <w:tcPr>
            <w:tcW w:w="3227" w:type="dxa"/>
          </w:tcPr>
          <w:p w:rsidR="00690E3B" w:rsidRPr="000D47B1" w:rsidRDefault="00690E3B" w:rsidP="000D47B1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>Contract Nu</w:t>
            </w:r>
            <w:r w:rsidR="000D47B1" w:rsidRPr="000D47B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ber:  </w:t>
            </w:r>
          </w:p>
        </w:tc>
        <w:tc>
          <w:tcPr>
            <w:tcW w:w="5953" w:type="dxa"/>
          </w:tcPr>
          <w:p w:rsidR="00690E3B" w:rsidRPr="005043EE" w:rsidRDefault="00FB16A5" w:rsidP="00476E2C">
            <w:pPr>
              <w:spacing w:before="40" w:after="40"/>
              <w:rPr>
                <w:i/>
              </w:rPr>
            </w:pPr>
            <w:r w:rsidRPr="005043EE">
              <w:rPr>
                <w:i/>
              </w:rPr>
              <w:t>201</w:t>
            </w:r>
            <w:r w:rsidR="00CF7372" w:rsidRPr="005043EE">
              <w:rPr>
                <w:i/>
              </w:rPr>
              <w:t>9</w:t>
            </w:r>
            <w:r w:rsidRPr="005043EE">
              <w:rPr>
                <w:i/>
              </w:rPr>
              <w:t>/</w:t>
            </w:r>
            <w:r w:rsidR="00CF7372" w:rsidRPr="005043EE">
              <w:rPr>
                <w:i/>
              </w:rPr>
              <w:t>20</w:t>
            </w:r>
            <w:r w:rsidRPr="005043EE">
              <w:rPr>
                <w:i/>
              </w:rPr>
              <w:t>-W</w:t>
            </w:r>
            <w:r w:rsidR="00462E95">
              <w:rPr>
                <w:i/>
              </w:rPr>
              <w:t>154-990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Contract Title:  </w:t>
            </w:r>
          </w:p>
        </w:tc>
        <w:tc>
          <w:tcPr>
            <w:tcW w:w="5953" w:type="dxa"/>
          </w:tcPr>
          <w:p w:rsidR="00690E3B" w:rsidRPr="005043EE" w:rsidRDefault="00462E95" w:rsidP="00476E2C">
            <w:pPr>
              <w:spacing w:before="40" w:after="40"/>
              <w:jc w:val="both"/>
              <w:rPr>
                <w:i/>
              </w:rPr>
            </w:pPr>
            <w:r w:rsidRPr="00462E95">
              <w:rPr>
                <w:rFonts w:eastAsia="Times New Roman"/>
                <w:bCs/>
                <w:i/>
              </w:rPr>
              <w:t>Design Consultancy Services for the precinct site planning replacement of Amenities Building at Knapsack Park, Glenbrook</w:t>
            </w:r>
            <w:r w:rsidR="00F965E5" w:rsidRPr="00462E95">
              <w:rPr>
                <w:rFonts w:eastAsia="Times New Roman"/>
                <w:bCs/>
                <w:i/>
              </w:rPr>
              <w:t>.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of Contract:  </w:t>
            </w:r>
          </w:p>
        </w:tc>
        <w:tc>
          <w:tcPr>
            <w:tcW w:w="5953" w:type="dxa"/>
          </w:tcPr>
          <w:p w:rsidR="00462E95" w:rsidRPr="00462E95" w:rsidRDefault="00462E95" w:rsidP="00462E95">
            <w:pPr>
              <w:spacing w:before="20" w:after="20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Knapsack Park is a sports facility located in Glenbrook. It is used mostly for football (soccer) including use during winter season, and cricket in the summer. It is a base for cross country and downhill cycling in the surrounding bushland escarpment.  The existing amenities building is reaching the end of its useful life.</w:t>
            </w:r>
          </w:p>
          <w:p w:rsidR="005043EE" w:rsidRPr="00462E95" w:rsidRDefault="00462E95" w:rsidP="00462E95">
            <w:pPr>
              <w:pStyle w:val="Heading3"/>
              <w:numPr>
                <w:ilvl w:val="0"/>
                <w:numId w:val="0"/>
              </w:numPr>
              <w:spacing w:before="20" w:after="20" w:line="259" w:lineRule="auto"/>
              <w:outlineLvl w:val="2"/>
              <w:rPr>
                <w:rFonts w:asciiTheme="minorHAnsi" w:hAnsiTheme="minorHAnsi" w:cstheme="minorBidi"/>
                <w:i/>
              </w:rPr>
            </w:pPr>
            <w:r w:rsidRPr="00462E95">
              <w:rPr>
                <w:rFonts w:asciiTheme="minorHAnsi" w:hAnsiTheme="minorHAnsi" w:cstheme="minorBidi"/>
                <w:i/>
              </w:rPr>
              <w:t>The club house is due to be replaced is located on the North West corner of the oval</w:t>
            </w:r>
            <w:r w:rsidR="00391595" w:rsidRPr="00462E95">
              <w:rPr>
                <w:rFonts w:asciiTheme="minorHAnsi" w:hAnsiTheme="minorHAnsi" w:cstheme="minorBidi"/>
                <w:i/>
              </w:rPr>
              <w:t>.</w:t>
            </w:r>
            <w:r w:rsidR="005043EE" w:rsidRPr="00462E95">
              <w:rPr>
                <w:rFonts w:asciiTheme="minorHAnsi" w:hAnsiTheme="minorHAnsi" w:cstheme="minorBidi"/>
                <w:i/>
              </w:rPr>
              <w:t xml:space="preserve"> </w:t>
            </w:r>
          </w:p>
          <w:p w:rsidR="00462E95" w:rsidRPr="00462E95" w:rsidRDefault="00462E95" w:rsidP="00462E95">
            <w:pPr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Design and documentation for a facility to meet recreational needs and disability access requirements at Knapsack Park, Glenbrook.</w:t>
            </w:r>
          </w:p>
          <w:p w:rsidR="00462E95" w:rsidRPr="00462E95" w:rsidRDefault="00462E95" w:rsidP="00462E95">
            <w:pPr>
              <w:spacing w:before="120" w:after="120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The selected consultant will be required to design a building for Knapsack Park at Glenbrook, giving consideration to:</w:t>
            </w:r>
          </w:p>
          <w:p w:rsidR="00462E95" w:rsidRPr="00462E95" w:rsidRDefault="00462E95" w:rsidP="00462E95">
            <w:pPr>
              <w:spacing w:before="120" w:after="120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building that provides: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Sufficient storage facilities for user groups and sporting equipment including soccer goal posts;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meeting space for user groups;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Separated changing facilities for teams using Knapsack Ovals, including showers and toilet facilities;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Change rooms formatted to ensure gender inclusiveness and dual usage.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Male and Female Toilet Facilities for spectators/general public, separately accessible from the changing facilities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umpires room;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first aid room;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dedicated, accessible toilet, with baby change facilities and independent access from the remainder of the building. Accessible toilet to meet DDA requirements;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kiosk with a serving hutch to the exterior of the building, and facilities to secure stock;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 xml:space="preserve">A kitchen facility, with lockable facilities for storage of club stock; 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 xml:space="preserve"> Accessible Toilets and change room facilities for home and away teams for use by females and males.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 xml:space="preserve">Oval level storage for goal posts, paint line marking material; 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A sheltered viewing area, facing the main fields;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8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 xml:space="preserve">Positioning in the precinct plan for 3 cricket practice nets; and </w:t>
            </w:r>
          </w:p>
          <w:p w:rsidR="00462E95" w:rsidRPr="00462E95" w:rsidRDefault="00462E95" w:rsidP="00462E95">
            <w:pPr>
              <w:numPr>
                <w:ilvl w:val="1"/>
                <w:numId w:val="16"/>
              </w:numPr>
              <w:spacing w:after="12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Children’s Play area- concept design by Council Officer.</w:t>
            </w:r>
          </w:p>
          <w:p w:rsidR="00462E95" w:rsidRDefault="00462E95" w:rsidP="00462E95">
            <w:pPr>
              <w:numPr>
                <w:ilvl w:val="1"/>
                <w:numId w:val="16"/>
              </w:numPr>
              <w:spacing w:after="120"/>
              <w:ind w:left="342" w:hanging="284"/>
              <w:jc w:val="both"/>
              <w:rPr>
                <w:rFonts w:eastAsia="Times New Roman"/>
                <w:bCs/>
                <w:i/>
              </w:rPr>
            </w:pPr>
            <w:r w:rsidRPr="00462E95">
              <w:rPr>
                <w:rFonts w:eastAsia="Times New Roman"/>
                <w:bCs/>
                <w:i/>
              </w:rPr>
              <w:t>Traffic and car parking design is to be compliant to water sensitive urban design principles and practices, whilst maximising the number of carpark spaces.</w:t>
            </w:r>
          </w:p>
          <w:p w:rsidR="0093335D" w:rsidRPr="00462E95" w:rsidRDefault="00462E95" w:rsidP="00462E95">
            <w:pPr>
              <w:numPr>
                <w:ilvl w:val="1"/>
                <w:numId w:val="16"/>
              </w:numPr>
              <w:spacing w:after="120"/>
              <w:ind w:left="342" w:hanging="284"/>
              <w:jc w:val="both"/>
              <w:rPr>
                <w:bCs/>
                <w:i/>
              </w:rPr>
            </w:pPr>
            <w:r w:rsidRPr="00462E95">
              <w:rPr>
                <w:bCs/>
                <w:i/>
              </w:rPr>
              <w:t>Preparation of Quantity Survey costs for 50%, 90% design completions</w:t>
            </w:r>
            <w:r>
              <w:rPr>
                <w:bCs/>
                <w:i/>
              </w:rPr>
              <w:t>.</w:t>
            </w:r>
            <w:r w:rsidRPr="00462E95">
              <w:rPr>
                <w:bCs/>
                <w:i/>
              </w:rPr>
              <w:t xml:space="preserve"> 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>Name and address of contractor:</w:t>
            </w:r>
          </w:p>
        </w:tc>
        <w:tc>
          <w:tcPr>
            <w:tcW w:w="5953" w:type="dxa"/>
          </w:tcPr>
          <w:p w:rsidR="00DF5912" w:rsidRPr="00344263" w:rsidRDefault="00462E95" w:rsidP="00476E2C">
            <w:pPr>
              <w:tabs>
                <w:tab w:val="left" w:pos="6210"/>
              </w:tabs>
              <w:spacing w:before="40" w:after="40"/>
              <w:jc w:val="both"/>
              <w:rPr>
                <w:i/>
              </w:rPr>
            </w:pPr>
            <w:r>
              <w:rPr>
                <w:i/>
              </w:rPr>
              <w:t>Urakawa Jenkins</w:t>
            </w:r>
            <w:r w:rsidR="00173EC3" w:rsidRPr="00344263">
              <w:rPr>
                <w:i/>
              </w:rPr>
              <w:t xml:space="preserve"> Pty Ltd</w:t>
            </w:r>
          </w:p>
          <w:p w:rsidR="00FB16A5" w:rsidRPr="00344263" w:rsidRDefault="00462E95" w:rsidP="00476E2C">
            <w:pPr>
              <w:spacing w:before="40" w:after="40"/>
              <w:rPr>
                <w:i/>
                <w:color w:val="FF0000"/>
              </w:rPr>
            </w:pPr>
            <w:r>
              <w:rPr>
                <w:i/>
              </w:rPr>
              <w:t xml:space="preserve">17 </w:t>
            </w:r>
            <w:r w:rsidR="00823375">
              <w:rPr>
                <w:i/>
              </w:rPr>
              <w:t>Sydney Street, Marrickville NSW 2204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Related companies:  </w:t>
            </w:r>
          </w:p>
        </w:tc>
        <w:tc>
          <w:tcPr>
            <w:tcW w:w="5953" w:type="dxa"/>
          </w:tcPr>
          <w:p w:rsidR="00095D38" w:rsidRPr="00344263" w:rsidRDefault="00095D38" w:rsidP="00476E2C">
            <w:pPr>
              <w:spacing w:before="40" w:after="40"/>
            </w:pPr>
            <w:r w:rsidRPr="00344263">
              <w:rPr>
                <w:i/>
              </w:rPr>
              <w:t>Not Applicable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Contract date and duration:  </w:t>
            </w:r>
          </w:p>
        </w:tc>
        <w:tc>
          <w:tcPr>
            <w:tcW w:w="5953" w:type="dxa"/>
          </w:tcPr>
          <w:p w:rsidR="00095D38" w:rsidRPr="00344263" w:rsidRDefault="00391595" w:rsidP="00B11CEE">
            <w:pPr>
              <w:spacing w:before="40" w:after="40"/>
              <w:rPr>
                <w:i/>
                <w:highlight w:val="yellow"/>
              </w:rPr>
            </w:pPr>
            <w:r>
              <w:rPr>
                <w:i/>
              </w:rPr>
              <w:t>1</w:t>
            </w:r>
            <w:r w:rsidR="00B11CEE">
              <w:rPr>
                <w:i/>
              </w:rPr>
              <w:t>4</w:t>
            </w:r>
            <w:r>
              <w:rPr>
                <w:i/>
              </w:rPr>
              <w:t xml:space="preserve"> April </w:t>
            </w:r>
            <w:r w:rsidR="00E54063" w:rsidRPr="00344263">
              <w:rPr>
                <w:i/>
              </w:rPr>
              <w:t xml:space="preserve">2020 to </w:t>
            </w:r>
            <w:r w:rsidR="00B11CEE">
              <w:rPr>
                <w:i/>
              </w:rPr>
              <w:t>30 September</w:t>
            </w:r>
            <w:r>
              <w:rPr>
                <w:i/>
              </w:rPr>
              <w:t xml:space="preserve"> </w:t>
            </w:r>
            <w:r w:rsidR="00E54063" w:rsidRPr="00344263">
              <w:rPr>
                <w:i/>
              </w:rPr>
              <w:t>2020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Particulars:  </w:t>
            </w:r>
          </w:p>
        </w:tc>
        <w:tc>
          <w:tcPr>
            <w:tcW w:w="5953" w:type="dxa"/>
          </w:tcPr>
          <w:p w:rsidR="00B65338" w:rsidRPr="00344263" w:rsidRDefault="00B11CEE" w:rsidP="00476E2C">
            <w:pPr>
              <w:spacing w:before="40" w:after="40"/>
              <w:jc w:val="both"/>
              <w:rPr>
                <w:highlight w:val="yellow"/>
              </w:rPr>
            </w:pPr>
            <w:r w:rsidRPr="00462E95">
              <w:rPr>
                <w:rFonts w:eastAsia="Times New Roman"/>
                <w:bCs/>
                <w:i/>
              </w:rPr>
              <w:t>Design Consultancy Services for the precinct site planning replacement of Amenities Building at Knapsack Park, Glenbrook</w:t>
            </w:r>
            <w:r>
              <w:rPr>
                <w:rFonts w:eastAsia="Times New Roman"/>
                <w:bCs/>
                <w:i/>
              </w:rPr>
              <w:t>.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>Estimated amount payable:</w:t>
            </w:r>
          </w:p>
        </w:tc>
        <w:tc>
          <w:tcPr>
            <w:tcW w:w="5953" w:type="dxa"/>
          </w:tcPr>
          <w:p w:rsidR="00B75DC4" w:rsidRPr="00344263" w:rsidRDefault="00B65338" w:rsidP="00B11CEE">
            <w:pPr>
              <w:spacing w:before="40" w:after="40"/>
              <w:rPr>
                <w:i/>
                <w:highlight w:val="yellow"/>
              </w:rPr>
            </w:pPr>
            <w:r w:rsidRPr="00344263">
              <w:rPr>
                <w:i/>
              </w:rPr>
              <w:t>$</w:t>
            </w:r>
            <w:r w:rsidR="00391595">
              <w:rPr>
                <w:i/>
              </w:rPr>
              <w:t>2</w:t>
            </w:r>
            <w:r w:rsidR="00B11CEE">
              <w:rPr>
                <w:i/>
              </w:rPr>
              <w:t>17,834.10</w:t>
            </w:r>
            <w:r w:rsidR="00391595">
              <w:rPr>
                <w:i/>
              </w:rPr>
              <w:t xml:space="preserve"> ($1</w:t>
            </w:r>
            <w:r w:rsidR="00B11CEE">
              <w:rPr>
                <w:i/>
              </w:rPr>
              <w:t>9</w:t>
            </w:r>
            <w:r w:rsidR="00391595">
              <w:rPr>
                <w:i/>
              </w:rPr>
              <w:t>8,</w:t>
            </w:r>
            <w:r w:rsidR="00B11CEE">
              <w:rPr>
                <w:i/>
              </w:rPr>
              <w:t>031</w:t>
            </w:r>
            <w:r w:rsidR="00391595">
              <w:rPr>
                <w:i/>
              </w:rPr>
              <w:t>.00 + $1</w:t>
            </w:r>
            <w:r w:rsidR="00B11CEE">
              <w:rPr>
                <w:i/>
              </w:rPr>
              <w:t>9</w:t>
            </w:r>
            <w:r w:rsidR="00391595">
              <w:rPr>
                <w:i/>
              </w:rPr>
              <w:t>,8</w:t>
            </w:r>
            <w:r w:rsidR="00B11CEE">
              <w:rPr>
                <w:i/>
              </w:rPr>
              <w:t>03</w:t>
            </w:r>
            <w:r w:rsidR="00391595">
              <w:rPr>
                <w:i/>
              </w:rPr>
              <w:t>.</w:t>
            </w:r>
            <w:r w:rsidR="00B11CEE">
              <w:rPr>
                <w:i/>
              </w:rPr>
              <w:t>1</w:t>
            </w:r>
            <w:r w:rsidR="00391595">
              <w:rPr>
                <w:i/>
              </w:rPr>
              <w:t>0</w:t>
            </w:r>
            <w:r w:rsidR="00C16C73" w:rsidRPr="00344263">
              <w:rPr>
                <w:i/>
              </w:rPr>
              <w:t xml:space="preserve"> GST)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Renegotiation provisions:  </w:t>
            </w:r>
          </w:p>
        </w:tc>
        <w:tc>
          <w:tcPr>
            <w:tcW w:w="5953" w:type="dxa"/>
          </w:tcPr>
          <w:p w:rsidR="00690E3B" w:rsidRPr="00344263" w:rsidRDefault="0082519A" w:rsidP="00476E2C">
            <w:pPr>
              <w:spacing w:before="40" w:after="40"/>
              <w:rPr>
                <w:i/>
                <w:highlight w:val="yellow"/>
              </w:rPr>
            </w:pPr>
            <w:r w:rsidRPr="00344263">
              <w:rPr>
                <w:i/>
              </w:rPr>
              <w:t>Not Applicable</w:t>
            </w:r>
          </w:p>
        </w:tc>
      </w:tr>
      <w:tr w:rsidR="00690E3B" w:rsidTr="00873D08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Method of tendering:  </w:t>
            </w:r>
          </w:p>
        </w:tc>
        <w:tc>
          <w:tcPr>
            <w:tcW w:w="5953" w:type="dxa"/>
          </w:tcPr>
          <w:p w:rsidR="00591219" w:rsidRPr="00344263" w:rsidRDefault="00095D38" w:rsidP="00966871">
            <w:pPr>
              <w:spacing w:before="40" w:after="40"/>
              <w:rPr>
                <w:i/>
              </w:rPr>
            </w:pPr>
            <w:r w:rsidRPr="00344263">
              <w:rPr>
                <w:i/>
              </w:rPr>
              <w:t xml:space="preserve">Open </w:t>
            </w:r>
            <w:r w:rsidR="00591219" w:rsidRPr="00344263">
              <w:rPr>
                <w:i/>
              </w:rPr>
              <w:t xml:space="preserve">Electronic </w:t>
            </w:r>
            <w:r w:rsidRPr="00344263">
              <w:rPr>
                <w:i/>
              </w:rPr>
              <w:t>Tender</w:t>
            </w:r>
          </w:p>
          <w:p w:rsidR="00591219" w:rsidRPr="00344263" w:rsidRDefault="00591219" w:rsidP="00966871">
            <w:pPr>
              <w:spacing w:before="40" w:after="40"/>
              <w:rPr>
                <w:i/>
              </w:rPr>
            </w:pPr>
            <w:r w:rsidRPr="00344263">
              <w:rPr>
                <w:i/>
                <w:u w:val="single"/>
              </w:rPr>
              <w:t>Evaluation Criteria</w:t>
            </w:r>
            <w:r w:rsidRPr="00344263">
              <w:rPr>
                <w:i/>
              </w:rPr>
              <w:t>:</w:t>
            </w:r>
          </w:p>
          <w:p w:rsidR="00591219" w:rsidRPr="00344263" w:rsidRDefault="005C1DFA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Value for Money</w:t>
            </w:r>
            <w:r w:rsidR="00591219" w:rsidRPr="00344263">
              <w:rPr>
                <w:i/>
              </w:rPr>
              <w:t>;</w:t>
            </w:r>
          </w:p>
          <w:p w:rsidR="00591219" w:rsidRPr="00344263" w:rsidRDefault="005C1DFA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Capability and Capacity – Tenderer Project Team</w:t>
            </w:r>
            <w:r w:rsidR="00591219" w:rsidRPr="00344263">
              <w:rPr>
                <w:i/>
              </w:rPr>
              <w:t>;</w:t>
            </w:r>
          </w:p>
          <w:p w:rsidR="00591219" w:rsidRPr="00344263" w:rsidRDefault="005C1DFA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Project Methodology and project program</w:t>
            </w:r>
            <w:r w:rsidR="00591219" w:rsidRPr="00344263">
              <w:rPr>
                <w:i/>
              </w:rPr>
              <w:t>;</w:t>
            </w:r>
          </w:p>
          <w:p w:rsidR="00591219" w:rsidRPr="00344263" w:rsidRDefault="00455CF1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WH&amp;S responses</w:t>
            </w:r>
            <w:r w:rsidR="00591219" w:rsidRPr="00344263">
              <w:rPr>
                <w:i/>
              </w:rPr>
              <w:t>;</w:t>
            </w:r>
          </w:p>
          <w:p w:rsidR="00455CF1" w:rsidRPr="00344263" w:rsidRDefault="00455CF1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Environmentally sustainable development</w:t>
            </w:r>
            <w:r w:rsidR="003F29B5" w:rsidRPr="00344263">
              <w:rPr>
                <w:i/>
              </w:rPr>
              <w:t xml:space="preserve">; </w:t>
            </w:r>
          </w:p>
          <w:p w:rsidR="00873D08" w:rsidRPr="00344263" w:rsidRDefault="003F29B5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Critical Assumptions</w:t>
            </w:r>
            <w:r w:rsidR="00873D08" w:rsidRPr="00344263">
              <w:rPr>
                <w:i/>
              </w:rPr>
              <w:t>; and</w:t>
            </w:r>
          </w:p>
          <w:p w:rsidR="0090734D" w:rsidRPr="00344263" w:rsidRDefault="00873D08" w:rsidP="00476E2C">
            <w:pPr>
              <w:tabs>
                <w:tab w:val="left" w:pos="426"/>
                <w:tab w:val="left" w:pos="1134"/>
              </w:tabs>
              <w:rPr>
                <w:i/>
              </w:rPr>
            </w:pPr>
            <w:r w:rsidRPr="00344263">
              <w:rPr>
                <w:i/>
              </w:rPr>
              <w:t>Innovation</w:t>
            </w:r>
            <w:r w:rsidR="003F29B5" w:rsidRPr="00344263">
              <w:rPr>
                <w:i/>
              </w:rPr>
              <w:t>.</w:t>
            </w:r>
            <w:r w:rsidR="0090734D" w:rsidRPr="00344263">
              <w:rPr>
                <w:i/>
              </w:rPr>
              <w:t xml:space="preserve"> </w:t>
            </w:r>
          </w:p>
        </w:tc>
      </w:tr>
      <w:tr w:rsidR="00690E3B" w:rsidTr="00D705E6">
        <w:tc>
          <w:tcPr>
            <w:tcW w:w="3227" w:type="dxa"/>
          </w:tcPr>
          <w:p w:rsidR="00690E3B" w:rsidRPr="000D47B1" w:rsidRDefault="00690E3B" w:rsidP="00DA0B3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B1">
              <w:rPr>
                <w:rFonts w:ascii="Arial" w:hAnsi="Arial" w:cs="Arial"/>
                <w:color w:val="000000"/>
                <w:sz w:val="20"/>
                <w:szCs w:val="20"/>
              </w:rPr>
              <w:t xml:space="preserve">Extra payable provisions:  </w:t>
            </w:r>
          </w:p>
        </w:tc>
        <w:tc>
          <w:tcPr>
            <w:tcW w:w="5953" w:type="dxa"/>
            <w:vAlign w:val="center"/>
          </w:tcPr>
          <w:p w:rsidR="00690E3B" w:rsidRPr="00344263" w:rsidRDefault="0082519A" w:rsidP="00D705E6">
            <w:pPr>
              <w:spacing w:before="40" w:after="40"/>
              <w:rPr>
                <w:i/>
              </w:rPr>
            </w:pPr>
            <w:r w:rsidRPr="00344263">
              <w:rPr>
                <w:i/>
              </w:rPr>
              <w:t>Not Applicable</w:t>
            </w:r>
          </w:p>
        </w:tc>
      </w:tr>
    </w:tbl>
    <w:p w:rsidR="00690E3B" w:rsidRDefault="00690E3B"/>
    <w:sectPr w:rsidR="00690E3B" w:rsidSect="00690E3B">
      <w:footerReference w:type="default" r:id="rId8"/>
      <w:pgSz w:w="11906" w:h="16838"/>
      <w:pgMar w:top="1440" w:right="1800" w:bottom="71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FA" w:rsidRDefault="00595FFA" w:rsidP="0082519A">
      <w:pPr>
        <w:spacing w:after="0" w:line="240" w:lineRule="auto"/>
      </w:pPr>
      <w:r>
        <w:separator/>
      </w:r>
    </w:p>
  </w:endnote>
  <w:endnote w:type="continuationSeparator" w:id="0">
    <w:p w:rsidR="00595FFA" w:rsidRDefault="00595FFA" w:rsidP="0082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F1" w:rsidRPr="0082519A" w:rsidRDefault="00344263" w:rsidP="0082519A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F</w:t>
    </w:r>
    <w:r w:rsidR="00B11CEE">
      <w:rPr>
        <w:sz w:val="16"/>
        <w:szCs w:val="16"/>
      </w:rPr>
      <w:t>04554</w:t>
    </w:r>
    <w:r>
      <w:rPr>
        <w:sz w:val="16"/>
        <w:szCs w:val="16"/>
      </w:rPr>
      <w:t xml:space="preserve"> – 20/</w:t>
    </w:r>
    <w:r w:rsidR="00BB001F">
      <w:rPr>
        <w:sz w:val="16"/>
        <w:szCs w:val="16"/>
      </w:rPr>
      <w:t>81</w:t>
    </w:r>
    <w:r w:rsidR="005F7A72">
      <w:rPr>
        <w:sz w:val="16"/>
        <w:szCs w:val="16"/>
      </w:rPr>
      <w:t>579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FA" w:rsidRDefault="00595FFA" w:rsidP="0082519A">
      <w:pPr>
        <w:spacing w:after="0" w:line="240" w:lineRule="auto"/>
      </w:pPr>
      <w:r>
        <w:separator/>
      </w:r>
    </w:p>
  </w:footnote>
  <w:footnote w:type="continuationSeparator" w:id="0">
    <w:p w:rsidR="00595FFA" w:rsidRDefault="00595FFA" w:rsidP="0082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DBC"/>
    <w:multiLevelType w:val="multilevel"/>
    <w:tmpl w:val="D84EB4D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cs="Times New Roman" w:hint="default"/>
        <w:b/>
        <w:i w:val="0"/>
        <w:sz w:val="20"/>
        <w:szCs w:val="20"/>
        <w:u w:val="none"/>
      </w:rPr>
    </w:lvl>
    <w:lvl w:ilvl="2">
      <w:start w:val="1"/>
      <w:numFmt w:val="decimal"/>
      <w:lvlText w:val="(%3)"/>
      <w:lvlJc w:val="left"/>
      <w:pPr>
        <w:tabs>
          <w:tab w:val="num" w:pos="1809"/>
        </w:tabs>
        <w:ind w:left="1809" w:hanging="709"/>
      </w:pPr>
      <w:rPr>
        <w:rFonts w:ascii="Calibri" w:hAnsi="Calibri"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2006"/>
        </w:tabs>
        <w:ind w:left="2006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-1036"/>
        </w:tabs>
        <w:ind w:left="-13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139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1396"/>
      </w:pPr>
      <w:rPr>
        <w:rFonts w:cs="Times New Roman" w:hint="default"/>
      </w:rPr>
    </w:lvl>
  </w:abstractNum>
  <w:abstractNum w:abstractNumId="1" w15:restartNumberingAfterBreak="0">
    <w:nsid w:val="0CCD4B37"/>
    <w:multiLevelType w:val="hybridMultilevel"/>
    <w:tmpl w:val="639610E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01E0604"/>
    <w:multiLevelType w:val="hybridMultilevel"/>
    <w:tmpl w:val="CC987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0E1D"/>
    <w:multiLevelType w:val="multilevel"/>
    <w:tmpl w:val="A17A4E04"/>
    <w:lvl w:ilvl="0">
      <w:start w:val="1"/>
      <w:numFmt w:val="decimal"/>
      <w:pStyle w:val="MLGDocHeading1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Arial" w:hint="default"/>
        <w:b/>
        <w:i w:val="0"/>
        <w:sz w:val="24"/>
        <w:szCs w:val="24"/>
      </w:rPr>
    </w:lvl>
    <w:lvl w:ilvl="1">
      <w:start w:val="1"/>
      <w:numFmt w:val="decimal"/>
      <w:pStyle w:val="MLGDoc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cs="Times New Roman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MLGDoc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LGDoc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Roman"/>
      <w:pStyle w:val="MLGDoc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2006"/>
        </w:tabs>
        <w:ind w:left="2006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-1036"/>
        </w:tabs>
        <w:ind w:left="-13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139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1396"/>
      </w:pPr>
      <w:rPr>
        <w:rFonts w:cs="Times New Roman" w:hint="default"/>
      </w:rPr>
    </w:lvl>
  </w:abstractNum>
  <w:abstractNum w:abstractNumId="4" w15:restartNumberingAfterBreak="0">
    <w:nsid w:val="216B469F"/>
    <w:multiLevelType w:val="multilevel"/>
    <w:tmpl w:val="D974BB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  <w:color w:val="E36C0A"/>
        <w:sz w:val="28"/>
        <w:szCs w:val="28"/>
      </w:rPr>
    </w:lvl>
    <w:lvl w:ilvl="1">
      <w:start w:val="1"/>
      <w:numFmt w:val="decimal"/>
      <w:lvlText w:val="%1.%2"/>
      <w:lvlJc w:val="left"/>
      <w:pPr>
        <w:ind w:left="3986" w:hanging="576"/>
      </w:pPr>
      <w:rPr>
        <w:rFonts w:cs="Times New Roman"/>
        <w:b/>
        <w:color w:val="548DD4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143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9C65645"/>
    <w:multiLevelType w:val="hybridMultilevel"/>
    <w:tmpl w:val="CB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36B"/>
    <w:multiLevelType w:val="multilevel"/>
    <w:tmpl w:val="B0042062"/>
    <w:lvl w:ilvl="0">
      <w:start w:val="2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7" w15:restartNumberingAfterBreak="0">
    <w:nsid w:val="3AEC3D40"/>
    <w:multiLevelType w:val="hybridMultilevel"/>
    <w:tmpl w:val="E314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161E"/>
    <w:multiLevelType w:val="hybridMultilevel"/>
    <w:tmpl w:val="45B2499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E87191"/>
    <w:multiLevelType w:val="hybridMultilevel"/>
    <w:tmpl w:val="440012D2"/>
    <w:lvl w:ilvl="0" w:tplc="0C090015">
      <w:start w:val="1"/>
      <w:numFmt w:val="upp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1A6BE6"/>
    <w:multiLevelType w:val="hybridMultilevel"/>
    <w:tmpl w:val="7940EA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602876">
      <w:start w:val="2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FC4B89"/>
    <w:multiLevelType w:val="hybridMultilevel"/>
    <w:tmpl w:val="2668E11C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2" w15:restartNumberingAfterBreak="0">
    <w:nsid w:val="62FF1D19"/>
    <w:multiLevelType w:val="multilevel"/>
    <w:tmpl w:val="E236D0C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cs="Times New Roman" w:hint="default"/>
        <w:b/>
        <w:i w:val="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2006"/>
        </w:tabs>
        <w:ind w:left="2006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-1036"/>
        </w:tabs>
        <w:ind w:left="-13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139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1396"/>
      </w:pPr>
      <w:rPr>
        <w:rFonts w:cs="Times New Roman" w:hint="default"/>
      </w:rPr>
    </w:lvl>
  </w:abstractNum>
  <w:abstractNum w:abstractNumId="13" w15:restartNumberingAfterBreak="0">
    <w:nsid w:val="73206DCD"/>
    <w:multiLevelType w:val="hybridMultilevel"/>
    <w:tmpl w:val="2CF65A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49"/>
    <w:rsid w:val="00004759"/>
    <w:rsid w:val="00044349"/>
    <w:rsid w:val="0007318B"/>
    <w:rsid w:val="00095D38"/>
    <w:rsid w:val="000C7587"/>
    <w:rsid w:val="000D47B1"/>
    <w:rsid w:val="00153532"/>
    <w:rsid w:val="00171F78"/>
    <w:rsid w:val="00173EC3"/>
    <w:rsid w:val="00187396"/>
    <w:rsid w:val="0019305F"/>
    <w:rsid w:val="001B2B17"/>
    <w:rsid w:val="001E41E9"/>
    <w:rsid w:val="00294E5B"/>
    <w:rsid w:val="002A5C0A"/>
    <w:rsid w:val="002B5B54"/>
    <w:rsid w:val="002E5F70"/>
    <w:rsid w:val="002E7E97"/>
    <w:rsid w:val="002F204A"/>
    <w:rsid w:val="00312C70"/>
    <w:rsid w:val="00344263"/>
    <w:rsid w:val="00391595"/>
    <w:rsid w:val="003B64AA"/>
    <w:rsid w:val="003D2D08"/>
    <w:rsid w:val="003F29B5"/>
    <w:rsid w:val="003F67B3"/>
    <w:rsid w:val="00433B1F"/>
    <w:rsid w:val="00435582"/>
    <w:rsid w:val="00447385"/>
    <w:rsid w:val="00455CF1"/>
    <w:rsid w:val="00462E95"/>
    <w:rsid w:val="00476E2C"/>
    <w:rsid w:val="00493D4E"/>
    <w:rsid w:val="004A0F95"/>
    <w:rsid w:val="004B5869"/>
    <w:rsid w:val="004C2130"/>
    <w:rsid w:val="005043EE"/>
    <w:rsid w:val="00522A76"/>
    <w:rsid w:val="00532F43"/>
    <w:rsid w:val="00591219"/>
    <w:rsid w:val="00592883"/>
    <w:rsid w:val="00595FFA"/>
    <w:rsid w:val="005B3EFC"/>
    <w:rsid w:val="005C1DFA"/>
    <w:rsid w:val="005D3352"/>
    <w:rsid w:val="005D3D0E"/>
    <w:rsid w:val="005F72CA"/>
    <w:rsid w:val="005F7A72"/>
    <w:rsid w:val="006008B4"/>
    <w:rsid w:val="006120BA"/>
    <w:rsid w:val="00623689"/>
    <w:rsid w:val="00673F8A"/>
    <w:rsid w:val="00674B01"/>
    <w:rsid w:val="00690E3B"/>
    <w:rsid w:val="00697538"/>
    <w:rsid w:val="00703684"/>
    <w:rsid w:val="00784146"/>
    <w:rsid w:val="007902D7"/>
    <w:rsid w:val="007C2390"/>
    <w:rsid w:val="007F7570"/>
    <w:rsid w:val="00823375"/>
    <w:rsid w:val="0082519A"/>
    <w:rsid w:val="00826BCA"/>
    <w:rsid w:val="00853515"/>
    <w:rsid w:val="00873D08"/>
    <w:rsid w:val="00882647"/>
    <w:rsid w:val="008B12B4"/>
    <w:rsid w:val="008B221A"/>
    <w:rsid w:val="008D62E3"/>
    <w:rsid w:val="008E118B"/>
    <w:rsid w:val="0090734D"/>
    <w:rsid w:val="0093335D"/>
    <w:rsid w:val="00935618"/>
    <w:rsid w:val="00963803"/>
    <w:rsid w:val="00966871"/>
    <w:rsid w:val="0098039A"/>
    <w:rsid w:val="009B57F2"/>
    <w:rsid w:val="00A106F2"/>
    <w:rsid w:val="00A911A3"/>
    <w:rsid w:val="00B11CEE"/>
    <w:rsid w:val="00B3444E"/>
    <w:rsid w:val="00B40BF5"/>
    <w:rsid w:val="00B4319F"/>
    <w:rsid w:val="00B65338"/>
    <w:rsid w:val="00B75DC4"/>
    <w:rsid w:val="00B770FF"/>
    <w:rsid w:val="00BA1EE8"/>
    <w:rsid w:val="00BB001F"/>
    <w:rsid w:val="00C11DE5"/>
    <w:rsid w:val="00C16C73"/>
    <w:rsid w:val="00C26AA0"/>
    <w:rsid w:val="00C34883"/>
    <w:rsid w:val="00C35762"/>
    <w:rsid w:val="00C42574"/>
    <w:rsid w:val="00C964A0"/>
    <w:rsid w:val="00CA77D2"/>
    <w:rsid w:val="00CB0043"/>
    <w:rsid w:val="00CF5782"/>
    <w:rsid w:val="00CF7372"/>
    <w:rsid w:val="00D111A7"/>
    <w:rsid w:val="00D21C09"/>
    <w:rsid w:val="00D50491"/>
    <w:rsid w:val="00D705E6"/>
    <w:rsid w:val="00DA0B33"/>
    <w:rsid w:val="00DB7EAB"/>
    <w:rsid w:val="00DC531D"/>
    <w:rsid w:val="00DE290A"/>
    <w:rsid w:val="00DF111E"/>
    <w:rsid w:val="00DF5912"/>
    <w:rsid w:val="00E14E0A"/>
    <w:rsid w:val="00E17FC4"/>
    <w:rsid w:val="00E54063"/>
    <w:rsid w:val="00E66B39"/>
    <w:rsid w:val="00E95928"/>
    <w:rsid w:val="00EC6A93"/>
    <w:rsid w:val="00EF23AE"/>
    <w:rsid w:val="00EF5C42"/>
    <w:rsid w:val="00F20795"/>
    <w:rsid w:val="00F705C0"/>
    <w:rsid w:val="00F72AB7"/>
    <w:rsid w:val="00F763EA"/>
    <w:rsid w:val="00F965E5"/>
    <w:rsid w:val="00FB16A5"/>
    <w:rsid w:val="00FC62D4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E935"/>
  <w15:docId w15:val="{C3BC7833-C303-480D-8452-3240FE12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1."/>
    <w:basedOn w:val="Normal"/>
    <w:next w:val="Normal"/>
    <w:link w:val="Heading1Char"/>
    <w:uiPriority w:val="99"/>
    <w:qFormat/>
    <w:rsid w:val="00784146"/>
    <w:pPr>
      <w:keepNext/>
      <w:keepLines/>
      <w:numPr>
        <w:numId w:val="5"/>
      </w:numPr>
      <w:spacing w:before="240" w:after="0"/>
      <w:jc w:val="both"/>
      <w:outlineLvl w:val="0"/>
    </w:pPr>
    <w:rPr>
      <w:rFonts w:ascii="Calibri" w:eastAsia="Times New Roman" w:hAnsi="Calibri" w:cs="Times New Roman"/>
      <w:b/>
      <w:bCs/>
      <w:color w:val="E36C0A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(a)"/>
    <w:basedOn w:val="Normal"/>
    <w:next w:val="Normal"/>
    <w:link w:val="Heading3Char"/>
    <w:uiPriority w:val="99"/>
    <w:qFormat/>
    <w:rsid w:val="00784146"/>
    <w:pPr>
      <w:keepNext/>
      <w:keepLines/>
      <w:numPr>
        <w:ilvl w:val="2"/>
        <w:numId w:val="5"/>
      </w:numPr>
      <w:spacing w:before="200" w:after="0"/>
      <w:jc w:val="both"/>
      <w:outlineLvl w:val="2"/>
    </w:pPr>
    <w:rPr>
      <w:rFonts w:ascii="Calibri" w:eastAsia="Times New Roman" w:hAnsi="Calibri" w:cs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146"/>
    <w:pPr>
      <w:keepNext/>
      <w:keepLines/>
      <w:numPr>
        <w:ilvl w:val="4"/>
        <w:numId w:val="5"/>
      </w:numPr>
      <w:spacing w:before="200" w:after="0"/>
      <w:jc w:val="both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4146"/>
    <w:pPr>
      <w:keepNext/>
      <w:keepLines/>
      <w:numPr>
        <w:ilvl w:val="5"/>
        <w:numId w:val="5"/>
      </w:numPr>
      <w:spacing w:before="200" w:after="0"/>
      <w:jc w:val="both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4146"/>
    <w:pPr>
      <w:keepNext/>
      <w:keepLines/>
      <w:numPr>
        <w:ilvl w:val="6"/>
        <w:numId w:val="5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4146"/>
    <w:pPr>
      <w:keepNext/>
      <w:keepLines/>
      <w:numPr>
        <w:ilvl w:val="7"/>
        <w:numId w:val="5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4146"/>
    <w:pPr>
      <w:keepNext/>
      <w:keepLines/>
      <w:numPr>
        <w:ilvl w:val="8"/>
        <w:numId w:val="5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044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34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9A"/>
  </w:style>
  <w:style w:type="paragraph" w:styleId="Footer">
    <w:name w:val="footer"/>
    <w:basedOn w:val="Normal"/>
    <w:link w:val="FooterChar"/>
    <w:uiPriority w:val="99"/>
    <w:unhideWhenUsed/>
    <w:rsid w:val="0082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9A"/>
  </w:style>
  <w:style w:type="paragraph" w:customStyle="1" w:styleId="SPECMAINBodyText">
    <w:name w:val="SPEC MAIN Body Text"/>
    <w:basedOn w:val="Normal"/>
    <w:link w:val="SPECMAINBodyTextCharChar"/>
    <w:rsid w:val="00591219"/>
    <w:pPr>
      <w:keepLines/>
      <w:spacing w:after="18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PECMAINBodyTextCharChar">
    <w:name w:val="SPEC MAIN Body Text Char Char"/>
    <w:basedOn w:val="DefaultParagraphFont"/>
    <w:link w:val="SPECMAINBodyText"/>
    <w:rsid w:val="00591219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aliases w:val="1. Char"/>
    <w:basedOn w:val="DefaultParagraphFont"/>
    <w:link w:val="Heading1"/>
    <w:uiPriority w:val="99"/>
    <w:rsid w:val="00784146"/>
    <w:rPr>
      <w:rFonts w:ascii="Calibri" w:eastAsia="Times New Roman" w:hAnsi="Calibri" w:cs="Times New Roman"/>
      <w:b/>
      <w:bCs/>
      <w:color w:val="E36C0A"/>
      <w:sz w:val="28"/>
      <w:szCs w:val="28"/>
      <w:lang w:val="en-US"/>
    </w:rPr>
  </w:style>
  <w:style w:type="character" w:customStyle="1" w:styleId="Heading3Char">
    <w:name w:val="Heading 3 Char"/>
    <w:aliases w:val="(a) Char"/>
    <w:basedOn w:val="DefaultParagraphFont"/>
    <w:link w:val="Heading3"/>
    <w:uiPriority w:val="99"/>
    <w:rsid w:val="00784146"/>
    <w:rPr>
      <w:rFonts w:ascii="Calibri" w:eastAsia="Times New Roman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784146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784146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784146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784146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784146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customStyle="1" w:styleId="MLG-Indent1">
    <w:name w:val="MLG - Indent 1"/>
    <w:basedOn w:val="Normal"/>
    <w:link w:val="MLG-Indent1Char"/>
    <w:uiPriority w:val="99"/>
    <w:rsid w:val="00004759"/>
    <w:pPr>
      <w:tabs>
        <w:tab w:val="left" w:pos="709"/>
      </w:tabs>
      <w:spacing w:before="120" w:after="120" w:line="240" w:lineRule="auto"/>
      <w:ind w:left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MLGDocHeading1">
    <w:name w:val="MLG Doc Heading 1"/>
    <w:basedOn w:val="Heading1"/>
    <w:next w:val="Normal"/>
    <w:uiPriority w:val="99"/>
    <w:rsid w:val="00004759"/>
    <w:pPr>
      <w:keepLines w:val="0"/>
      <w:numPr>
        <w:numId w:val="6"/>
      </w:numPr>
      <w:pBdr>
        <w:bottom w:val="single" w:sz="4" w:space="1" w:color="auto"/>
      </w:pBdr>
      <w:spacing w:before="120" w:after="120" w:line="240" w:lineRule="auto"/>
    </w:pPr>
    <w:rPr>
      <w:rFonts w:ascii="Arial Bold" w:hAnsi="Arial Bold" w:cs="Arial"/>
      <w:color w:val="auto"/>
      <w:kern w:val="32"/>
      <w:sz w:val="24"/>
      <w:szCs w:val="24"/>
      <w:lang w:val="en-AU"/>
    </w:rPr>
  </w:style>
  <w:style w:type="paragraph" w:customStyle="1" w:styleId="MLGDocHeading2">
    <w:name w:val="MLG Doc Heading 2"/>
    <w:basedOn w:val="Heading2"/>
    <w:uiPriority w:val="99"/>
    <w:rsid w:val="00004759"/>
    <w:pPr>
      <w:keepLines w:val="0"/>
      <w:numPr>
        <w:ilvl w:val="1"/>
        <w:numId w:val="6"/>
      </w:numPr>
      <w:spacing w:before="120" w:after="120" w:line="240" w:lineRule="auto"/>
      <w:jc w:val="both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MLGDocHeading3">
    <w:name w:val="MLG Doc Heading 3"/>
    <w:basedOn w:val="Heading3"/>
    <w:link w:val="MLGDocHeading3Char"/>
    <w:uiPriority w:val="99"/>
    <w:rsid w:val="00004759"/>
    <w:pPr>
      <w:keepNext w:val="0"/>
      <w:keepLines w:val="0"/>
      <w:numPr>
        <w:numId w:val="6"/>
      </w:numPr>
      <w:spacing w:before="120" w:after="120" w:line="240" w:lineRule="auto"/>
    </w:pPr>
    <w:rPr>
      <w:rFonts w:ascii="Arial" w:hAnsi="Arial" w:cs="Arial"/>
      <w:sz w:val="20"/>
      <w:szCs w:val="26"/>
    </w:rPr>
  </w:style>
  <w:style w:type="paragraph" w:customStyle="1" w:styleId="MLGDocHeading4">
    <w:name w:val="MLG Doc Heading 4"/>
    <w:basedOn w:val="Heading4"/>
    <w:uiPriority w:val="99"/>
    <w:rsid w:val="00004759"/>
    <w:pPr>
      <w:keepNext w:val="0"/>
      <w:keepLines w:val="0"/>
      <w:numPr>
        <w:ilvl w:val="3"/>
        <w:numId w:val="6"/>
      </w:numPr>
      <w:spacing w:before="120" w:after="120" w:line="240" w:lineRule="auto"/>
      <w:jc w:val="both"/>
    </w:pPr>
    <w:rPr>
      <w:rFonts w:ascii="Arial" w:eastAsia="Times New Roman" w:hAnsi="Arial" w:cs="Arial"/>
      <w:b w:val="0"/>
      <w:i w:val="0"/>
      <w:iCs w:val="0"/>
      <w:color w:val="auto"/>
      <w:sz w:val="20"/>
      <w:szCs w:val="28"/>
    </w:rPr>
  </w:style>
  <w:style w:type="paragraph" w:customStyle="1" w:styleId="MLGDocHeading5">
    <w:name w:val="MLG Doc Heading 5"/>
    <w:basedOn w:val="Heading5"/>
    <w:uiPriority w:val="99"/>
    <w:rsid w:val="00004759"/>
    <w:pPr>
      <w:keepNext w:val="0"/>
      <w:keepLines w:val="0"/>
      <w:numPr>
        <w:numId w:val="6"/>
      </w:numPr>
      <w:spacing w:before="120" w:after="120" w:line="240" w:lineRule="auto"/>
    </w:pPr>
    <w:rPr>
      <w:rFonts w:ascii="Arial" w:hAnsi="Arial"/>
      <w:bCs/>
      <w:iCs/>
      <w:color w:val="auto"/>
      <w:sz w:val="20"/>
      <w:szCs w:val="26"/>
      <w:lang w:val="en-AU"/>
    </w:rPr>
  </w:style>
  <w:style w:type="character" w:customStyle="1" w:styleId="MLG-Indent1Char">
    <w:name w:val="MLG - Indent 1 Char"/>
    <w:basedOn w:val="DefaultParagraphFont"/>
    <w:link w:val="MLG-Indent1"/>
    <w:uiPriority w:val="99"/>
    <w:locked/>
    <w:rsid w:val="00004759"/>
    <w:rPr>
      <w:rFonts w:ascii="Arial" w:eastAsia="Times New Roman" w:hAnsi="Arial" w:cs="Arial"/>
      <w:sz w:val="20"/>
      <w:szCs w:val="20"/>
    </w:rPr>
  </w:style>
  <w:style w:type="paragraph" w:customStyle="1" w:styleId="MLG-Indent2">
    <w:name w:val="MLG - Indent 2"/>
    <w:basedOn w:val="MLG-Indent1"/>
    <w:uiPriority w:val="99"/>
    <w:rsid w:val="00004759"/>
    <w:pPr>
      <w:ind w:left="1418"/>
    </w:pPr>
  </w:style>
  <w:style w:type="character" w:customStyle="1" w:styleId="MLGDocHeading3Char">
    <w:name w:val="MLG Doc Heading 3 Char"/>
    <w:basedOn w:val="DefaultParagraphFont"/>
    <w:link w:val="MLGDocHeading3"/>
    <w:uiPriority w:val="99"/>
    <w:locked/>
    <w:rsid w:val="00004759"/>
    <w:rPr>
      <w:rFonts w:ascii="Arial" w:eastAsia="Times New Roman" w:hAnsi="Arial" w:cs="Arial"/>
      <w:bCs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MCCIndent1">
    <w:name w:val="BMCC Indent 1"/>
    <w:basedOn w:val="MLG-Indent1"/>
    <w:link w:val="BMCCIndent1Char"/>
    <w:uiPriority w:val="99"/>
    <w:rsid w:val="00966871"/>
    <w:rPr>
      <w:rFonts w:ascii="Calibri" w:hAnsi="Calibri" w:cs="Times New Roman"/>
      <w:lang w:eastAsia="en-US"/>
    </w:rPr>
  </w:style>
  <w:style w:type="paragraph" w:customStyle="1" w:styleId="BMCCDocHeading3">
    <w:name w:val="BMCC Doc Heading 3"/>
    <w:basedOn w:val="MLGDocHeading3"/>
    <w:uiPriority w:val="99"/>
    <w:rsid w:val="00966871"/>
    <w:pPr>
      <w:numPr>
        <w:ilvl w:val="0"/>
        <w:numId w:val="0"/>
      </w:numPr>
      <w:tabs>
        <w:tab w:val="num" w:pos="1809"/>
      </w:tabs>
      <w:ind w:left="1809" w:hanging="709"/>
    </w:pPr>
    <w:rPr>
      <w:rFonts w:ascii="Calibri" w:hAnsi="Calibri"/>
      <w:sz w:val="22"/>
      <w:lang w:eastAsia="en-US"/>
    </w:rPr>
  </w:style>
  <w:style w:type="character" w:customStyle="1" w:styleId="BMCCIndent1Char">
    <w:name w:val="BMCC Indent 1 Char"/>
    <w:basedOn w:val="MLG-Indent1Char"/>
    <w:link w:val="BMCCIndent1"/>
    <w:uiPriority w:val="99"/>
    <w:locked/>
    <w:rsid w:val="00966871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enceHeading6">
    <w:name w:val="DefenceHeading 6"/>
    <w:basedOn w:val="Normal"/>
    <w:uiPriority w:val="99"/>
    <w:rsid w:val="00966871"/>
    <w:pPr>
      <w:tabs>
        <w:tab w:val="num" w:pos="2006"/>
        <w:tab w:val="num" w:pos="3856"/>
        <w:tab w:val="num" w:pos="4050"/>
      </w:tabs>
      <w:spacing w:line="240" w:lineRule="auto"/>
      <w:ind w:left="3856" w:hanging="964"/>
      <w:outlineLvl w:val="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enceHeading7">
    <w:name w:val="DefenceHeading 7"/>
    <w:basedOn w:val="Normal"/>
    <w:uiPriority w:val="99"/>
    <w:rsid w:val="00966871"/>
    <w:pPr>
      <w:tabs>
        <w:tab w:val="num" w:pos="-1036"/>
        <w:tab w:val="num" w:pos="4770"/>
        <w:tab w:val="num" w:pos="4820"/>
      </w:tabs>
      <w:spacing w:line="240" w:lineRule="auto"/>
      <w:ind w:left="4820" w:hanging="964"/>
      <w:outlineLvl w:val="6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enceHeading8">
    <w:name w:val="DefenceHeading 8"/>
    <w:basedOn w:val="Normal"/>
    <w:uiPriority w:val="99"/>
    <w:rsid w:val="00966871"/>
    <w:pPr>
      <w:tabs>
        <w:tab w:val="num" w:pos="5490"/>
        <w:tab w:val="num" w:pos="5783"/>
      </w:tabs>
      <w:spacing w:line="240" w:lineRule="auto"/>
      <w:ind w:left="5783" w:hanging="963"/>
      <w:outlineLvl w:val="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enceHeading9">
    <w:name w:val="DefenceHeading 9"/>
    <w:next w:val="Normal"/>
    <w:uiPriority w:val="99"/>
    <w:rsid w:val="00966871"/>
    <w:pPr>
      <w:tabs>
        <w:tab w:val="num" w:pos="6210"/>
      </w:tabs>
      <w:spacing w:after="240" w:line="240" w:lineRule="auto"/>
      <w:ind w:left="964" w:hanging="360"/>
      <w:jc w:val="center"/>
    </w:pPr>
    <w:rPr>
      <w:rFonts w:ascii="Arial Bold" w:eastAsia="Times New Roman" w:hAnsi="Arial Bold" w:cs="Times New Roman"/>
      <w:b/>
      <w:caps/>
      <w:sz w:val="28"/>
      <w:szCs w:val="28"/>
      <w:lang w:eastAsia="en-US"/>
    </w:rPr>
  </w:style>
  <w:style w:type="paragraph" w:styleId="ListParagraph">
    <w:name w:val="List Paragraph"/>
    <w:aliases w:val="Recommendation,List Paragraph1"/>
    <w:basedOn w:val="Normal"/>
    <w:link w:val="ListParagraphChar"/>
    <w:uiPriority w:val="1"/>
    <w:qFormat/>
    <w:rsid w:val="00173E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aliases w:val="Recommendation Char,List Paragraph1 Char"/>
    <w:link w:val="ListParagraph"/>
    <w:uiPriority w:val="1"/>
    <w:locked/>
    <w:rsid w:val="005043EE"/>
    <w:rPr>
      <w:rFonts w:ascii="Calibri" w:eastAsia="Times New Roman" w:hAnsi="Calibri" w:cs="Times New Roman"/>
      <w:lang w:eastAsia="en-US"/>
    </w:rPr>
  </w:style>
  <w:style w:type="paragraph" w:customStyle="1" w:styleId="address">
    <w:name w:val="address"/>
    <w:basedOn w:val="Normal"/>
    <w:uiPriority w:val="99"/>
    <w:rsid w:val="00462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Mountains City Council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anadarajah</dc:creator>
  <cp:lastModifiedBy>Anne Nadarajah</cp:lastModifiedBy>
  <cp:revision>22</cp:revision>
  <cp:lastPrinted>2020-04-22T23:58:00Z</cp:lastPrinted>
  <dcterms:created xsi:type="dcterms:W3CDTF">2019-08-06T23:38:00Z</dcterms:created>
  <dcterms:modified xsi:type="dcterms:W3CDTF">2020-04-22T23:57:00Z</dcterms:modified>
</cp:coreProperties>
</file>